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408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каб. 205, 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Григорян Гнела Ладиковича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3 ст. 12.12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6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г. Сургуте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Style w:val="cat-UserDefinedgrp-39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Григорян Г.Л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MakeModelgrp-27rplc-22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8rplc-2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осуществил проезд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регулируемо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перекрестка на запрещающий сигнал светофора, </w:t>
      </w:r>
      <w:r>
        <w:rPr>
          <w:rFonts w:ascii="Times New Roman" w:eastAsia="Times New Roman" w:hAnsi="Times New Roman" w:cs="Times New Roman"/>
          <w:sz w:val="27"/>
          <w:szCs w:val="27"/>
        </w:rPr>
        <w:t>данное административное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этой связи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Григорян Г.Л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13.02.2026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был составлен протокол 86 ХМ </w:t>
      </w:r>
      <w:r>
        <w:rPr>
          <w:rFonts w:ascii="Times New Roman" w:eastAsia="Times New Roman" w:hAnsi="Times New Roman" w:cs="Times New Roman"/>
          <w:sz w:val="27"/>
          <w:szCs w:val="27"/>
        </w:rPr>
        <w:t>708591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по ч. 3 ст. 12.12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письменном заявлении просил рассмотреть дело в его отсутствие, указав, что с нарушением согласен. </w:t>
      </w: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сследовав материалы дела, мировой судья приходит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повторное совершение административного правонарушения, предусмотренного частью 1 настоящей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6.2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пунктом 6.14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предупреждает об опасности; красный сигнал, в том числе </w:t>
      </w:r>
      <w:r>
        <w:rPr>
          <w:rFonts w:ascii="Times New Roman" w:eastAsia="Times New Roman" w:hAnsi="Times New Roman" w:cs="Times New Roman"/>
          <w:sz w:val="27"/>
          <w:szCs w:val="27"/>
        </w:rPr>
        <w:t>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дорожного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Григорян Г.Л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подтверждается исследованными по делу доказательствами: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708591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БДПС Г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УМВД Росси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постановления № 188105862</w:t>
      </w:r>
      <w:r>
        <w:rPr>
          <w:rFonts w:ascii="Times New Roman" w:eastAsia="Times New Roman" w:hAnsi="Times New Roman" w:cs="Times New Roman"/>
          <w:sz w:val="27"/>
          <w:szCs w:val="27"/>
        </w:rPr>
        <w:t>40000927102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08.11.2025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вступившегося в законную силу 19.11.2025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сведениями ГИС ГМП;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операции с ВУ; карточкой учета ТС; реестром правонарушений;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параметрами светофорного регулирования СО №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41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проектом организации дорожного движения;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>-диском с видеозаписью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ставить под сомнение достоверность исследованных в судебном заседании доказательств </w:t>
      </w:r>
      <w:r>
        <w:rPr>
          <w:rFonts w:ascii="Times New Roman" w:eastAsia="Times New Roman" w:hAnsi="Times New Roman" w:cs="Times New Roman"/>
          <w:sz w:val="27"/>
          <w:szCs w:val="27"/>
        </w:rPr>
        <w:t>у мировой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28.2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вступившим в законную силу 19.11.2025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ИППС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ППС ГИБДД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УМВД России по ХМАО-Югре за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18810586240000927102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08.11.2025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Григорян Г.Л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признан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подвергнут наказанию в виде штрафа в размере </w:t>
      </w:r>
      <w:r>
        <w:rPr>
          <w:rStyle w:val="cat-Sumgrp-22rplc-4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который исходя из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сведений ГИС ГМП </w:t>
      </w:r>
      <w:r>
        <w:rPr>
          <w:rFonts w:ascii="Times New Roman" w:eastAsia="Times New Roman" w:hAnsi="Times New Roman" w:cs="Times New Roman"/>
          <w:sz w:val="27"/>
          <w:szCs w:val="27"/>
        </w:rPr>
        <w:t>в материалах дела оплачен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Следовательно, годичный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окончания исполнения данного постановления на момент совершения правонарушения – </w:t>
      </w:r>
      <w:r>
        <w:rPr>
          <w:rStyle w:val="cat-UserDefinedgrp-43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не истек, то есть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Григорян Г.Л.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лицом,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совершившим аналогичное административное правонарушение.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совокупности, исследованные по делу доказательства, суд приходит к выводу о том,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Григорян Г.Л.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установлена, полностью доказана и его действия правильно квалифицированы по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 ст.12.12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не установлено.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Григорян Г.Л.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 в течении года.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а также цели и задачи административного наказания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Григорян </w:t>
      </w:r>
      <w:r>
        <w:rPr>
          <w:rFonts w:ascii="Times New Roman" w:eastAsia="Times New Roman" w:hAnsi="Times New Roman" w:cs="Times New Roman"/>
          <w:sz w:val="27"/>
          <w:szCs w:val="27"/>
        </w:rPr>
        <w:t>Гнела Ладиковича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размере </w:t>
      </w:r>
      <w:r>
        <w:rPr>
          <w:rStyle w:val="cat-Sumgrp-23rplc-5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71876000,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>: 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УГУ Банка России//УФК по Ханты-Мансийскому автономному округу-Югре г. Ханты-Мансийск, </w:t>
      </w:r>
      <w:r>
        <w:rPr>
          <w:rFonts w:ascii="Times New Roman" w:eastAsia="Times New Roman" w:hAnsi="Times New Roman" w:cs="Times New Roman"/>
          <w:sz w:val="27"/>
          <w:szCs w:val="27"/>
        </w:rPr>
        <w:t>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кор. счет № 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УИН 188104862</w:t>
      </w:r>
      <w:r>
        <w:rPr>
          <w:rFonts w:ascii="Times New Roman" w:eastAsia="Times New Roman" w:hAnsi="Times New Roman" w:cs="Times New Roman"/>
          <w:sz w:val="27"/>
          <w:szCs w:val="27"/>
        </w:rPr>
        <w:t>60320003564</w:t>
      </w:r>
      <w:r>
        <w:rPr>
          <w:rFonts w:ascii="Times New Roman" w:eastAsia="Times New Roman" w:hAnsi="Times New Roman" w:cs="Times New Roman"/>
          <w:sz w:val="27"/>
          <w:szCs w:val="27"/>
        </w:rPr>
        <w:t>, К</w:t>
      </w:r>
      <w:r>
        <w:rPr>
          <w:rFonts w:ascii="Times New Roman" w:eastAsia="Times New Roman" w:hAnsi="Times New Roman" w:cs="Times New Roman"/>
          <w:sz w:val="27"/>
          <w:szCs w:val="27"/>
        </w:rPr>
        <w:t>БК 18811601123010001140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по адресу: г. Сургут ул. Гагарина д. 9 каб. 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5073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CarMakeModelgrp-27rplc-22">
    <w:name w:val="cat-CarMakeModel grp-27 rplc-22"/>
    <w:basedOn w:val="DefaultParagraphFont"/>
  </w:style>
  <w:style w:type="character" w:customStyle="1" w:styleId="cat-CarNumbergrp-28rplc-23">
    <w:name w:val="cat-CarNumber grp-28 rplc-23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Sumgrp-23rplc-51">
    <w:name w:val="cat-Sum grp-23 rplc-5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AF67-C9F8-496A-A6DD-4A1A97044AB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